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559"/>
      </w:tblGrid>
      <w:tr w:rsidR="0041512A" w14:paraId="04F8EC61" w14:textId="77777777" w:rsidTr="009A476D">
        <w:tc>
          <w:tcPr>
            <w:tcW w:w="2263" w:type="dxa"/>
          </w:tcPr>
          <w:p w14:paraId="7E6550BD" w14:textId="1E282DE3" w:rsidR="0041512A" w:rsidRDefault="00885B50" w:rsidP="0041512A">
            <w:pPr>
              <w:spacing w:before="120" w:after="120"/>
            </w:pPr>
            <w:hyperlink r:id="rId5" w:history="1">
              <w:r w:rsidR="008E70B8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0FD76CFB" w14:textId="77777777" w:rsidR="0041512A" w:rsidRDefault="00587F68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Agenzie pubbliche d’intermediazione</w:t>
            </w:r>
          </w:p>
        </w:tc>
        <w:tc>
          <w:tcPr>
            <w:tcW w:w="1559" w:type="dxa"/>
          </w:tcPr>
          <w:p w14:paraId="567C98A6" w14:textId="0C4E65DF" w:rsidR="0041512A" w:rsidRPr="0041512A" w:rsidRDefault="00885B50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</w:t>
              </w:r>
              <w:r w:rsidRPr="002F49AE">
                <w:rPr>
                  <w:rStyle w:val="Collegamentoipertestuale"/>
                  <w:b/>
                </w:rPr>
                <w:t>t</w:t>
              </w:r>
              <w:r w:rsidRPr="002F49AE"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4A578D7D" w14:textId="77777777" w:rsidTr="009A476D">
        <w:tc>
          <w:tcPr>
            <w:tcW w:w="9209" w:type="dxa"/>
            <w:gridSpan w:val="3"/>
          </w:tcPr>
          <w:p w14:paraId="5C90F112" w14:textId="2756E1AD" w:rsidR="00F33A15" w:rsidRPr="00CC4A51" w:rsidRDefault="00CC4A51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CC4A51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F7D2358" w14:textId="77777777" w:rsidR="00587F68" w:rsidRPr="0039206D" w:rsidRDefault="00587F68" w:rsidP="00587F68">
            <w:pPr>
              <w:pStyle w:val="provvr01"/>
              <w:spacing w:before="0" w:beforeAutospacing="0" w:after="120" w:afterAutospacing="0"/>
              <w:ind w:left="164" w:right="312"/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39206D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Con esclusione delle agenzie: di recupero crediti, di pubblici incanti, matrimoniali e di pubbliche relazioni che restano di competenza della Questura</w:t>
            </w:r>
            <w:r w:rsidRPr="0039206D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non possono aprirsi o condursi agenzie di affari, quali che sia l'oggetto e la durata, anche sotto forma di agenzie di vendita, di esposizioni, mostre o fiere campionarie e simili, senza aver data comunicazione al SUAP in osservanza delle disposizioni di cui alla programmazione di settore. </w:t>
            </w:r>
          </w:p>
          <w:p w14:paraId="3EC1BEB6" w14:textId="77777777" w:rsidR="00587F68" w:rsidRDefault="00587F68" w:rsidP="00324869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39206D">
              <w:rPr>
                <w:color w:val="auto"/>
                <w:sz w:val="20"/>
                <w:szCs w:val="20"/>
                <w:u w:val="none"/>
              </w:rPr>
              <w:t xml:space="preserve">Sotto la denominazione di «agenzie pubbliche o uffici pubblici di affari» si comprendono le imprese, comunque organizzate, che si offrono come intermediarie nell'assunzione o trattazione di affari altrui, prestando la propria opera a chiunque ne faccia richiesta. </w:t>
            </w:r>
          </w:p>
          <w:p w14:paraId="29BE1A7E" w14:textId="5E8B6A75" w:rsidR="00587F68" w:rsidRPr="0020681A" w:rsidRDefault="00587F68" w:rsidP="00587F68">
            <w:pPr>
              <w:ind w:left="164" w:right="312"/>
              <w:jc w:val="both"/>
              <w:rPr>
                <w:rFonts w:eastAsia="Times New Roman"/>
                <w:b/>
                <w:i/>
                <w:color w:val="0000FF"/>
                <w:sz w:val="20"/>
                <w:szCs w:val="20"/>
                <w:u w:val="none"/>
                <w:lang w:eastAsia="it-IT"/>
              </w:rPr>
            </w:pPr>
            <w:r w:rsidRPr="0039206D">
              <w:rPr>
                <w:color w:val="auto"/>
                <w:sz w:val="20"/>
                <w:szCs w:val="20"/>
                <w:u w:val="none"/>
              </w:rPr>
              <w:t>Rientrano in detta dizione a titolo non esaustivo:</w:t>
            </w:r>
            <w:r w:rsidRPr="0039206D">
              <w:rPr>
                <w:rFonts w:eastAsia="Times New Roman"/>
                <w:b/>
                <w:i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hyperlink r:id="rId7" w:history="1">
              <w:r w:rsidRPr="00EE2BE4">
                <w:rPr>
                  <w:rStyle w:val="Collegamentoipertestuale"/>
                  <w:rFonts w:eastAsia="Times New Roman"/>
                  <w:b/>
                  <w:i/>
                  <w:sz w:val="20"/>
                  <w:szCs w:val="20"/>
                  <w:lang w:eastAsia="it-IT"/>
                </w:rPr>
                <w:t>De</w:t>
              </w:r>
              <w:r w:rsidRPr="00EE2BE4">
                <w:rPr>
                  <w:rStyle w:val="Collegamentoipertestuale"/>
                  <w:rFonts w:eastAsia="Times New Roman"/>
                  <w:b/>
                  <w:i/>
                  <w:sz w:val="20"/>
                  <w:szCs w:val="20"/>
                  <w:lang w:eastAsia="it-IT"/>
                </w:rPr>
                <w:t>f</w:t>
              </w:r>
              <w:r w:rsidRPr="00EE2BE4">
                <w:rPr>
                  <w:rStyle w:val="Collegamentoipertestuale"/>
                  <w:rFonts w:eastAsia="Times New Roman"/>
                  <w:b/>
                  <w:i/>
                  <w:sz w:val="20"/>
                  <w:szCs w:val="20"/>
                  <w:lang w:eastAsia="it-IT"/>
                </w:rPr>
                <w:t>inizioni</w:t>
              </w:r>
            </w:hyperlink>
            <w:r w:rsidRPr="0020681A">
              <w:rPr>
                <w:rFonts w:eastAsia="Times New Roman"/>
                <w:b/>
                <w:i/>
                <w:color w:val="0000FF"/>
                <w:sz w:val="20"/>
                <w:szCs w:val="20"/>
                <w:u w:val="none"/>
                <w:lang w:eastAsia="it-IT"/>
              </w:rPr>
              <w:t xml:space="preserve"> </w:t>
            </w:r>
            <w:r w:rsidRPr="0020681A">
              <w:rPr>
                <w:rFonts w:eastAsia="Times New Roman"/>
                <w:vanish/>
                <w:color w:val="0000FF"/>
                <w:sz w:val="20"/>
                <w:szCs w:val="20"/>
                <w:u w:val="none"/>
                <w:lang w:eastAsia="it-IT"/>
              </w:rPr>
              <w:t>Inizio modulo</w:t>
            </w:r>
          </w:p>
          <w:p w14:paraId="0A2E0C33" w14:textId="77777777" w:rsidR="000F7C5F" w:rsidRPr="000F7C5F" w:rsidRDefault="000F7C5F" w:rsidP="000F7C5F">
            <w:pPr>
              <w:ind w:left="164"/>
              <w:rPr>
                <w:sz w:val="24"/>
                <w:szCs w:val="24"/>
              </w:rPr>
            </w:pPr>
          </w:p>
          <w:p w14:paraId="6FC9782C" w14:textId="77777777" w:rsidR="00CC4A51" w:rsidRPr="00AB4C12" w:rsidRDefault="00CC4A51" w:rsidP="00CC4A51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60FFFBD8" w14:textId="4B44CB4A" w:rsidR="00CC4A51" w:rsidRPr="008E70B8" w:rsidRDefault="008E70B8" w:rsidP="00667826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56" w:lineRule="auto"/>
              <w:ind w:left="589" w:right="312"/>
              <w:jc w:val="both"/>
              <w:rPr>
                <w:rStyle w:val="Collegamentoipertestuale"/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885B50">
              <w:rPr>
                <w:b/>
                <w:sz w:val="24"/>
                <w:szCs w:val="24"/>
              </w:rPr>
              <w:instrText>HYPERLINK "../../PROGRAMMAZIONE/AREE.docx"</w:instrText>
            </w:r>
            <w:r w:rsidR="00885B50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4A51" w:rsidRPr="008E70B8">
              <w:rPr>
                <w:rStyle w:val="Collegamentoipertestuale"/>
                <w:b/>
                <w:sz w:val="24"/>
                <w:szCs w:val="24"/>
              </w:rPr>
              <w:t>Programmazione economic</w:t>
            </w:r>
            <w:r w:rsidR="00CC4A51" w:rsidRPr="008E70B8">
              <w:rPr>
                <w:rStyle w:val="Collegamentoipertestuale"/>
                <w:b/>
                <w:sz w:val="24"/>
                <w:szCs w:val="24"/>
              </w:rPr>
              <w:t>a</w:t>
            </w:r>
            <w:r w:rsidR="00CC4A51" w:rsidRPr="008E70B8">
              <w:rPr>
                <w:rStyle w:val="Collegamentoipertestuale"/>
                <w:b/>
                <w:sz w:val="24"/>
                <w:szCs w:val="24"/>
              </w:rPr>
              <w:t>-commerciale del PGT</w:t>
            </w:r>
            <w:r w:rsidR="00CC4A51" w:rsidRPr="008E70B8"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</w:p>
          <w:p w14:paraId="34F307B3" w14:textId="2D103881" w:rsidR="00CC4A51" w:rsidRPr="00CC4A51" w:rsidRDefault="008E70B8" w:rsidP="00CC4A51">
            <w:pPr>
              <w:pStyle w:val="Paragrafoelenco"/>
              <w:autoSpaceDE w:val="0"/>
              <w:autoSpaceDN w:val="0"/>
              <w:adjustRightInd w:val="0"/>
              <w:spacing w:line="256" w:lineRule="auto"/>
              <w:ind w:left="589" w:right="312"/>
              <w:jc w:val="both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76D8700" w14:textId="70FAFCCB" w:rsidR="00CC4A51" w:rsidRPr="00215ADA" w:rsidRDefault="00CC4A51" w:rsidP="00CC4A51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589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E2BE4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15ADA">
              <w:rPr>
                <w:rStyle w:val="Collegamentoipertestuale"/>
                <w:b/>
                <w:sz w:val="24"/>
                <w:szCs w:val="24"/>
              </w:rPr>
              <w:t>Requisiti onor</w:t>
            </w:r>
            <w:r w:rsidRPr="00215ADA">
              <w:rPr>
                <w:rStyle w:val="Collegamentoipertestuale"/>
                <w:b/>
                <w:sz w:val="24"/>
                <w:szCs w:val="24"/>
              </w:rPr>
              <w:t>a</w:t>
            </w:r>
            <w:r w:rsidRPr="00215ADA">
              <w:rPr>
                <w:rStyle w:val="Collegamentoipertestuale"/>
                <w:b/>
                <w:sz w:val="24"/>
                <w:szCs w:val="24"/>
              </w:rPr>
              <w:t>bilità</w:t>
            </w:r>
          </w:p>
          <w:p w14:paraId="1FE0FCAB" w14:textId="77777777" w:rsidR="00CC4A51" w:rsidRPr="00215ADA" w:rsidRDefault="00CC4A51" w:rsidP="00CC4A51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000000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6921D6A4" w14:textId="40C02D4D" w:rsidR="00CC4A51" w:rsidRPr="00CC4A51" w:rsidRDefault="00885B50" w:rsidP="00CC4A51">
            <w:pPr>
              <w:pStyle w:val="Paragrafoelenco"/>
              <w:numPr>
                <w:ilvl w:val="0"/>
                <w:numId w:val="23"/>
              </w:numPr>
              <w:spacing w:after="240" w:line="256" w:lineRule="auto"/>
              <w:ind w:left="589"/>
              <w:rPr>
                <w:rStyle w:val="Collegamentoipertestuale"/>
                <w:b/>
                <w:color w:val="C00000"/>
                <w:sz w:val="24"/>
                <w:szCs w:val="24"/>
              </w:rPr>
            </w:pPr>
            <w:hyperlink r:id="rId8" w:history="1">
              <w:r w:rsidR="00CC4A51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Requisiti ogget</w:t>
              </w:r>
              <w:r w:rsidR="00CC4A51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t</w:t>
              </w:r>
              <w:r w:rsidR="00CC4A51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ivi</w:t>
              </w:r>
            </w:hyperlink>
          </w:p>
          <w:p w14:paraId="08757CAC" w14:textId="77777777" w:rsidR="00CC4A51" w:rsidRPr="00CC4A51" w:rsidRDefault="00CC4A51" w:rsidP="00CC4A51">
            <w:pPr>
              <w:pStyle w:val="Paragrafoelenco"/>
              <w:spacing w:after="240" w:line="256" w:lineRule="auto"/>
              <w:ind w:left="589"/>
              <w:rPr>
                <w:rStyle w:val="Collegamentoipertestuale"/>
                <w:b/>
                <w:color w:val="C00000"/>
                <w:sz w:val="12"/>
                <w:szCs w:val="12"/>
              </w:rPr>
            </w:pPr>
          </w:p>
          <w:p w14:paraId="70D62742" w14:textId="5F781171" w:rsidR="00587F68" w:rsidRPr="00324869" w:rsidRDefault="00587F68" w:rsidP="0013771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9" w:right="22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324869"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  <w:t>Modalità di esercizio</w:t>
            </w:r>
            <w:r w:rsidR="00324869" w:rsidRPr="00324869"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  <w:t xml:space="preserve"> - </w:t>
            </w:r>
            <w:r w:rsidRPr="00324869">
              <w:rPr>
                <w:color w:val="auto"/>
                <w:sz w:val="20"/>
                <w:szCs w:val="20"/>
                <w:u w:val="none"/>
              </w:rPr>
              <w:t>La comunicazione</w:t>
            </w:r>
            <w:r w:rsidR="00324869">
              <w:rPr>
                <w:color w:val="auto"/>
                <w:sz w:val="20"/>
                <w:szCs w:val="20"/>
                <w:u w:val="none"/>
              </w:rPr>
              <w:t xml:space="preserve"> al SUAP</w:t>
            </w:r>
            <w:r w:rsidRPr="00324869">
              <w:rPr>
                <w:color w:val="auto"/>
                <w:sz w:val="20"/>
                <w:szCs w:val="20"/>
                <w:u w:val="none"/>
              </w:rPr>
              <w:t xml:space="preserve"> è dovuta da chiunque</w:t>
            </w:r>
            <w:r w:rsidR="00324869">
              <w:rPr>
                <w:color w:val="auto"/>
                <w:sz w:val="20"/>
                <w:szCs w:val="20"/>
                <w:u w:val="none"/>
              </w:rPr>
              <w:t xml:space="preserve"> attivi agenzie pubbliche di intermediazione per conto di terzi di qualsiasi genere anche immobiliare</w:t>
            </w:r>
            <w:r w:rsidRPr="00324869">
              <w:rPr>
                <w:color w:val="auto"/>
                <w:sz w:val="20"/>
                <w:szCs w:val="20"/>
                <w:u w:val="none"/>
              </w:rPr>
              <w:t>, sia pure viaggiatore di commercio</w:t>
            </w:r>
            <w:r w:rsidR="00324869">
              <w:rPr>
                <w:color w:val="auto"/>
                <w:sz w:val="20"/>
                <w:szCs w:val="20"/>
                <w:u w:val="none"/>
              </w:rPr>
              <w:t xml:space="preserve"> e faccia</w:t>
            </w:r>
            <w:r w:rsidRPr="00324869">
              <w:rPr>
                <w:color w:val="auto"/>
                <w:sz w:val="20"/>
                <w:szCs w:val="20"/>
                <w:u w:val="none"/>
              </w:rPr>
              <w:t>, in qualsiasi luogo, temporanea esposizione di merci anche a scopo di pubblicità o di commissioni, senza procedere a vendita delle cose esposte.</w:t>
            </w:r>
          </w:p>
          <w:p w14:paraId="62AD0823" w14:textId="77777777" w:rsidR="00587F68" w:rsidRPr="00587F68" w:rsidRDefault="00587F68" w:rsidP="00587F68">
            <w:pPr>
              <w:autoSpaceDE w:val="0"/>
              <w:autoSpaceDN w:val="0"/>
              <w:adjustRightInd w:val="0"/>
              <w:ind w:left="589" w:right="22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587F68">
              <w:rPr>
                <w:color w:val="auto"/>
                <w:sz w:val="20"/>
                <w:szCs w:val="20"/>
                <w:u w:val="none"/>
              </w:rPr>
              <w:t>Coloro che esercitano in forma ambulante una delle attività di cui ai commi precedenti sono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87F68">
              <w:rPr>
                <w:color w:val="auto"/>
                <w:sz w:val="20"/>
                <w:szCs w:val="20"/>
                <w:u w:val="none"/>
              </w:rPr>
              <w:t>tenuti ad esibire copia della comunicazione all’autorità locale di pubblica sicurezza dei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87F68">
              <w:rPr>
                <w:color w:val="auto"/>
                <w:sz w:val="20"/>
                <w:szCs w:val="20"/>
                <w:u w:val="none"/>
              </w:rPr>
              <w:t>comuni che percorrono. L'autorità locale di pubblica sicurezza esprime il proprio assenso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87F68">
              <w:rPr>
                <w:color w:val="auto"/>
                <w:sz w:val="20"/>
                <w:szCs w:val="20"/>
                <w:u w:val="none"/>
              </w:rPr>
              <w:t>con facoltà di imporre le limitazioni che ritenga opportune nel pubblico interesse, in relazione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87F68">
              <w:rPr>
                <w:color w:val="auto"/>
                <w:sz w:val="20"/>
                <w:szCs w:val="20"/>
                <w:u w:val="none"/>
              </w:rPr>
              <w:t>alle condizioni di tempo, viabilità e di ambiente.</w:t>
            </w:r>
          </w:p>
          <w:p w14:paraId="231E0128" w14:textId="77777777" w:rsidR="00C95280" w:rsidRPr="00587F68" w:rsidRDefault="00587F68" w:rsidP="00587F68">
            <w:pPr>
              <w:autoSpaceDE w:val="0"/>
              <w:autoSpaceDN w:val="0"/>
              <w:adjustRightInd w:val="0"/>
              <w:ind w:left="589" w:right="22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587F68">
              <w:rPr>
                <w:color w:val="auto"/>
                <w:sz w:val="20"/>
                <w:szCs w:val="20"/>
                <w:u w:val="none"/>
              </w:rPr>
              <w:t>Detti operatori devono tenere apposita registrazione delle operazioni effettuate per conto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87F68">
              <w:rPr>
                <w:color w:val="auto"/>
                <w:sz w:val="20"/>
                <w:szCs w:val="20"/>
                <w:u w:val="none"/>
              </w:rPr>
              <w:t>terzi e un tariffario delle prestazioni esposto al pubblico</w:t>
            </w:r>
          </w:p>
          <w:p w14:paraId="511F1839" w14:textId="77777777" w:rsidR="00587F68" w:rsidRPr="00324869" w:rsidRDefault="00587F68" w:rsidP="00587F68">
            <w:pPr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30F1217E" w14:textId="77777777" w:rsidR="00651349" w:rsidRPr="00324869" w:rsidRDefault="002B6C24" w:rsidP="00EC548A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324869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2D9EAFFF" w14:textId="0FD929AA" w:rsidR="005F21E3" w:rsidRPr="005F21E3" w:rsidRDefault="005F21E3" w:rsidP="005F21E3">
            <w:pPr>
              <w:tabs>
                <w:tab w:val="left" w:pos="8952"/>
              </w:tabs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5F21E3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Ai sensi dell’art. 115 del TULPS, per attivare professionalmente una agenzia pubblica di intermediazione occorre </w:t>
            </w:r>
            <w:r w:rsidRPr="0032486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presentare comunicazione</w:t>
            </w:r>
            <w:r w:rsidRPr="00324869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5F21E3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al SUAP, mediante apposita </w:t>
            </w:r>
            <w:r w:rsidRPr="005F21E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SCIA </w:t>
            </w:r>
            <w:r w:rsidRPr="005F21E3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da inoltrare tramite </w:t>
            </w:r>
            <w:r w:rsidRPr="005F21E3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9" w:history="1">
              <w:hyperlink r:id="rId10" w:history="1">
                <w:r w:rsidR="003B0325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5F21E3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3BD29F94" w14:textId="433FD9BB" w:rsidR="005F21E3" w:rsidRPr="005F21E3" w:rsidRDefault="005F21E3" w:rsidP="005F21E3">
            <w:pPr>
              <w:tabs>
                <w:tab w:val="left" w:pos="8952"/>
              </w:tabs>
              <w:spacing w:after="120"/>
              <w:ind w:left="164" w:right="22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5F21E3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4A5112">
              <w:rPr>
                <w:b/>
                <w:color w:val="auto"/>
                <w:sz w:val="20"/>
                <w:szCs w:val="20"/>
                <w:u w:val="none"/>
              </w:rPr>
              <w:t>Attività di servizio</w:t>
            </w:r>
            <w:r w:rsidR="00324869">
              <w:rPr>
                <w:b/>
                <w:color w:val="auto"/>
                <w:sz w:val="20"/>
                <w:szCs w:val="20"/>
                <w:u w:val="none"/>
              </w:rPr>
              <w:t xml:space="preserve"> (Ateco da 58 a 82)</w:t>
            </w:r>
            <w:r w:rsidR="004A5112">
              <w:rPr>
                <w:b/>
                <w:color w:val="auto"/>
                <w:sz w:val="20"/>
                <w:szCs w:val="20"/>
                <w:u w:val="none"/>
              </w:rPr>
              <w:t xml:space="preserve"> +Agenzie</w:t>
            </w:r>
            <w:r w:rsidRPr="005F21E3">
              <w:rPr>
                <w:b/>
                <w:color w:val="auto"/>
                <w:sz w:val="20"/>
                <w:szCs w:val="20"/>
                <w:u w:val="none"/>
              </w:rPr>
              <w:t xml:space="preserve"> + Agenzie d’affari, </w:t>
            </w:r>
            <w:r w:rsidRPr="005F21E3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5F21E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F21E3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5F21E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F21E3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5F21E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F21E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5F21E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Aprire l’attività + </w:t>
            </w:r>
            <w:r w:rsidRPr="005F21E3">
              <w:rPr>
                <w:b/>
                <w:bCs/>
                <w:color w:val="auto"/>
                <w:sz w:val="20"/>
                <w:szCs w:val="20"/>
                <w:u w:val="none"/>
              </w:rPr>
              <w:t>Comunicazione per l'esercizio dell’attività delle agenzie d’affari di competenza del Comune.</w:t>
            </w:r>
          </w:p>
          <w:p w14:paraId="1A40D7B8" w14:textId="77777777" w:rsidR="005F21E3" w:rsidRPr="00C542F8" w:rsidRDefault="005F21E3" w:rsidP="004172CC">
            <w:pPr>
              <w:tabs>
                <w:tab w:val="left" w:pos="8952"/>
              </w:tabs>
              <w:spacing w:after="240"/>
              <w:ind w:left="164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5F21E3">
              <w:rPr>
                <w:b/>
                <w:color w:val="FF0000"/>
                <w:sz w:val="20"/>
                <w:szCs w:val="20"/>
                <w:u w:val="none"/>
              </w:rPr>
              <w:t xml:space="preserve">Prima di iniziare l’attività occorre far </w:t>
            </w:r>
            <w:r w:rsidR="00C542F8">
              <w:rPr>
                <w:rStyle w:val="Collegamentoipertestuale"/>
                <w:b/>
                <w:sz w:val="20"/>
                <w:szCs w:val="20"/>
                <w:u w:val="none"/>
              </w:rPr>
              <w:fldChar w:fldCharType="begin"/>
            </w:r>
            <w:r w:rsidR="00C542F8">
              <w:rPr>
                <w:rStyle w:val="Collegamentoipertestuale"/>
                <w:b/>
                <w:sz w:val="20"/>
                <w:szCs w:val="20"/>
                <w:u w:val="none"/>
              </w:rPr>
              <w:instrText xml:space="preserve"> HYPERLINK "PA41%20Vidimazione%20registri.docx" </w:instrText>
            </w:r>
            <w:r w:rsidR="00C542F8">
              <w:rPr>
                <w:rStyle w:val="Collegamentoipertestuale"/>
                <w:b/>
                <w:sz w:val="20"/>
                <w:szCs w:val="20"/>
                <w:u w:val="none"/>
              </w:rPr>
              <w:fldChar w:fldCharType="separate"/>
            </w:r>
            <w:r w:rsidRPr="00C542F8">
              <w:rPr>
                <w:rStyle w:val="Collegamentoipertestuale"/>
                <w:b/>
                <w:sz w:val="20"/>
                <w:szCs w:val="20"/>
              </w:rPr>
              <w:t>vidimare il regist</w:t>
            </w:r>
            <w:r w:rsidRPr="00C542F8">
              <w:rPr>
                <w:rStyle w:val="Collegamentoipertestuale"/>
                <w:b/>
                <w:sz w:val="20"/>
                <w:szCs w:val="20"/>
              </w:rPr>
              <w:t>r</w:t>
            </w:r>
            <w:r w:rsidRPr="00C542F8">
              <w:rPr>
                <w:rStyle w:val="Collegamentoipertestuale"/>
                <w:b/>
                <w:sz w:val="20"/>
                <w:szCs w:val="20"/>
              </w:rPr>
              <w:t>o degli affari e il tariffario</w:t>
            </w:r>
          </w:p>
          <w:p w14:paraId="669EDA1C" w14:textId="72579D70" w:rsidR="004172CC" w:rsidRPr="0056509F" w:rsidRDefault="00C542F8" w:rsidP="00EE2BE4">
            <w:pPr>
              <w:spacing w:after="240"/>
              <w:ind w:left="164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sz w:val="20"/>
                <w:szCs w:val="20"/>
                <w:u w:val="none"/>
              </w:rPr>
              <w:fldChar w:fldCharType="end"/>
            </w:r>
            <w:r w:rsidR="004172CC"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="004172CC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 w:rsidR="004172C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="004172CC"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 w:rsidR="004172C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="004172CC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1" w:history="1">
              <w:r w:rsidR="004172CC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 w:rsidR="004172CC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="004172CC"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="004172CC" w:rsidRPr="0016697F">
                <w:rPr>
                  <w:rStyle w:val="Collegamentoipertestuale"/>
                  <w:u w:val="none"/>
                </w:rPr>
                <w:t xml:space="preserve"> </w:t>
              </w:r>
              <w:r w:rsidR="004172CC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="004172CC"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="004172CC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="004172CC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772244AD" w14:textId="77777777" w:rsidR="004172CC" w:rsidRDefault="004172CC" w:rsidP="004172CC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78B19F40" w14:textId="77777777" w:rsidR="004172CC" w:rsidRPr="00E10070" w:rsidRDefault="004172CC" w:rsidP="004172CC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460FB464" w14:textId="2BA3FE79" w:rsidR="00EE2BE4" w:rsidRPr="00EE2BE4" w:rsidRDefault="00885B50" w:rsidP="00EE2BE4">
            <w:pPr>
              <w:ind w:left="164" w:right="312"/>
              <w:jc w:val="both"/>
              <w:rPr>
                <w:b/>
                <w:bCs/>
              </w:rPr>
            </w:pPr>
            <w:hyperlink r:id="rId13" w:history="1">
              <w:r w:rsidR="00EE2BE4" w:rsidRPr="00EE2BE4">
                <w:rPr>
                  <w:rStyle w:val="Collegamentoipertestuale"/>
                  <w:b/>
                  <w:bCs/>
                </w:rPr>
                <w:t>Allega</w:t>
              </w:r>
              <w:r w:rsidR="00EE2BE4" w:rsidRPr="00EE2BE4">
                <w:rPr>
                  <w:rStyle w:val="Collegamentoipertestuale"/>
                  <w:b/>
                  <w:bCs/>
                </w:rPr>
                <w:t>t</w:t>
              </w:r>
              <w:r w:rsidR="00EE2BE4" w:rsidRPr="00EE2BE4">
                <w:rPr>
                  <w:rStyle w:val="Collegamentoipertestuale"/>
                  <w:b/>
                  <w:bCs/>
                </w:rPr>
                <w:t>i</w:t>
              </w:r>
            </w:hyperlink>
          </w:p>
          <w:p w14:paraId="2BF56FB4" w14:textId="77777777" w:rsidR="00EE2BE4" w:rsidRDefault="00EE2BE4" w:rsidP="00EE2BE4">
            <w:pPr>
              <w:ind w:left="164" w:right="312"/>
              <w:jc w:val="both"/>
            </w:pPr>
          </w:p>
          <w:p w14:paraId="38CC5589" w14:textId="2E1CEBDA" w:rsidR="00EE2BE4" w:rsidRPr="00744B7C" w:rsidRDefault="00885B50" w:rsidP="00EE2BE4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4" w:history="1">
              <w:r w:rsidR="00EE2BE4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EE2BE4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EE2BE4">
              <w:rPr>
                <w:b/>
                <w:color w:val="auto"/>
                <w:sz w:val="20"/>
                <w:szCs w:val="20"/>
                <w:u w:val="none"/>
              </w:rPr>
              <w:t>(Ateco da 58 a 82 + 94 + 96)</w:t>
            </w:r>
          </w:p>
          <w:p w14:paraId="11FA3486" w14:textId="77777777" w:rsidR="00EE2BE4" w:rsidRDefault="00EE2BE4" w:rsidP="00EE2BE4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D94DAE0" w14:textId="77777777" w:rsidR="00EE2BE4" w:rsidRDefault="00EE2BE4" w:rsidP="00EE2BE4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6BDC4A8" w14:textId="6FEE253A" w:rsidR="00EE2BE4" w:rsidRPr="00A960D3" w:rsidRDefault="00EE2BE4" w:rsidP="00EE2BE4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8E70B8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</w:t>
            </w:r>
            <w:r w:rsidRPr="00A960D3">
              <w:rPr>
                <w:rStyle w:val="Collegamentoipertestuale"/>
                <w:b/>
                <w:bCs/>
              </w:rPr>
              <w:t>u</w:t>
            </w:r>
            <w:r w:rsidRPr="00A960D3">
              <w:rPr>
                <w:rStyle w:val="Collegamentoipertestuale"/>
                <w:b/>
                <w:bCs/>
              </w:rPr>
              <w:t>ttori</w:t>
            </w:r>
          </w:p>
          <w:p w14:paraId="792E41E9" w14:textId="77777777" w:rsidR="00EE2BE4" w:rsidRDefault="00EE2BE4" w:rsidP="00EE2BE4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EA38286" w14:textId="77777777" w:rsidR="00EE2BE4" w:rsidRPr="00042B0E" w:rsidRDefault="00EE2BE4" w:rsidP="00EE2BE4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61D34AAF" w14:textId="3953078A" w:rsidR="00EE2BE4" w:rsidRPr="00FE239B" w:rsidRDefault="00885B50" w:rsidP="00EE2BE4">
            <w:pPr>
              <w:pStyle w:val="Paragrafoelenco"/>
              <w:spacing w:after="120"/>
              <w:ind w:left="164" w:right="312"/>
              <w:jc w:val="both"/>
              <w:rPr>
                <w:color w:val="0000FF"/>
              </w:rPr>
            </w:pPr>
            <w:hyperlink r:id="rId15" w:history="1">
              <w:r w:rsidR="00EE2BE4" w:rsidRPr="00FE239B">
                <w:rPr>
                  <w:rStyle w:val="Collegamentoipertestuale"/>
                  <w:b/>
                </w:rPr>
                <w:t>Tempistica</w:t>
              </w:r>
            </w:hyperlink>
            <w:r w:rsidR="00EE2BE4" w:rsidRPr="00FE239B">
              <w:rPr>
                <w:b/>
                <w:color w:val="0000FF"/>
                <w:u w:val="none"/>
              </w:rPr>
              <w:t xml:space="preserve"> </w:t>
            </w:r>
          </w:p>
          <w:p w14:paraId="01E50D18" w14:textId="77777777" w:rsidR="00EE2BE4" w:rsidRDefault="00EE2BE4" w:rsidP="00EE2BE4">
            <w:pPr>
              <w:pStyle w:val="Rientrocorpodeltesto"/>
              <w:spacing w:after="0"/>
              <w:ind w:left="164"/>
              <w:jc w:val="both"/>
            </w:pPr>
          </w:p>
          <w:p w14:paraId="1638459F" w14:textId="66C8F7BA" w:rsidR="002F375F" w:rsidRPr="00945B26" w:rsidRDefault="00885B50" w:rsidP="002F375F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6" w:history="1">
              <w:r w:rsidR="00EE2BE4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EE2BE4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EE2BE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EE2BE4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EE2BE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2F375F" w:rsidRPr="008E70B8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2F375F" w:rsidRPr="008E70B8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2F375F" w:rsidRPr="008E70B8">
                <w:rPr>
                  <w:rStyle w:val="Collegamentoipertestuale"/>
                  <w:b/>
                  <w:sz w:val="20"/>
                  <w:szCs w:val="20"/>
                </w:rPr>
                <w:t>rte 5^</w:t>
              </w:r>
            </w:hyperlink>
            <w:r w:rsidR="002F375F" w:rsidRPr="00945B26">
              <w:rPr>
                <w:color w:val="0000FF"/>
                <w:sz w:val="20"/>
                <w:szCs w:val="20"/>
              </w:rPr>
              <w:t xml:space="preserve"> </w:t>
            </w:r>
            <w:r w:rsidR="002F375F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2F375F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3C3AEEB4" w14:textId="77777777" w:rsidR="004172CC" w:rsidRPr="00D84657" w:rsidRDefault="004172CC" w:rsidP="004172CC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BE44D34" w14:textId="77777777" w:rsidR="004172CC" w:rsidRDefault="004172CC" w:rsidP="004172CC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18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21EC4498" w14:textId="02448534" w:rsidR="00A956AF" w:rsidRPr="0041512A" w:rsidRDefault="004172CC" w:rsidP="004172CC">
            <w:pPr>
              <w:spacing w:before="3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FE239B">
              <w:rPr>
                <w:u w:val="none"/>
              </w:rPr>
              <w:t xml:space="preserve">          </w:t>
            </w:r>
            <w:hyperlink r:id="rId19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13C3671D" w14:textId="77777777" w:rsidR="00276654" w:rsidRPr="0041512A" w:rsidRDefault="00276654" w:rsidP="009A476D">
            <w:pPr>
              <w:spacing w:after="120"/>
              <w:ind w:left="731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1BDBD8F7" w14:textId="77777777" w:rsidR="00342D58" w:rsidRDefault="00342D58">
      <w:pPr>
        <w:rPr>
          <w:b/>
        </w:rPr>
      </w:pPr>
    </w:p>
    <w:p w14:paraId="5C1F4C6D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C722A"/>
    <w:multiLevelType w:val="hybridMultilevel"/>
    <w:tmpl w:val="0CC43006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1023F"/>
    <w:multiLevelType w:val="hybridMultilevel"/>
    <w:tmpl w:val="86445790"/>
    <w:lvl w:ilvl="0" w:tplc="9EFA77A4">
      <w:start w:val="1"/>
      <w:numFmt w:val="decimal"/>
      <w:lvlText w:val="%1."/>
      <w:lvlJc w:val="left"/>
      <w:pPr>
        <w:ind w:left="884" w:hanging="360"/>
      </w:pPr>
      <w:rPr>
        <w:b/>
        <w:bCs/>
        <w:color w:val="FF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04" w:hanging="360"/>
      </w:pPr>
    </w:lvl>
    <w:lvl w:ilvl="2" w:tplc="0410001B">
      <w:start w:val="1"/>
      <w:numFmt w:val="lowerRoman"/>
      <w:lvlText w:val="%3."/>
      <w:lvlJc w:val="right"/>
      <w:pPr>
        <w:ind w:left="2324" w:hanging="180"/>
      </w:pPr>
    </w:lvl>
    <w:lvl w:ilvl="3" w:tplc="0410000F">
      <w:start w:val="1"/>
      <w:numFmt w:val="decimal"/>
      <w:lvlText w:val="%4."/>
      <w:lvlJc w:val="left"/>
      <w:pPr>
        <w:ind w:left="3044" w:hanging="360"/>
      </w:pPr>
    </w:lvl>
    <w:lvl w:ilvl="4" w:tplc="04100019">
      <w:start w:val="1"/>
      <w:numFmt w:val="lowerLetter"/>
      <w:lvlText w:val="%5."/>
      <w:lvlJc w:val="left"/>
      <w:pPr>
        <w:ind w:left="3764" w:hanging="360"/>
      </w:pPr>
    </w:lvl>
    <w:lvl w:ilvl="5" w:tplc="0410001B">
      <w:start w:val="1"/>
      <w:numFmt w:val="lowerRoman"/>
      <w:lvlText w:val="%6."/>
      <w:lvlJc w:val="right"/>
      <w:pPr>
        <w:ind w:left="4484" w:hanging="180"/>
      </w:pPr>
    </w:lvl>
    <w:lvl w:ilvl="6" w:tplc="0410000F">
      <w:start w:val="1"/>
      <w:numFmt w:val="decimal"/>
      <w:lvlText w:val="%7."/>
      <w:lvlJc w:val="left"/>
      <w:pPr>
        <w:ind w:left="5204" w:hanging="360"/>
      </w:pPr>
    </w:lvl>
    <w:lvl w:ilvl="7" w:tplc="04100019">
      <w:start w:val="1"/>
      <w:numFmt w:val="lowerLetter"/>
      <w:lvlText w:val="%8."/>
      <w:lvlJc w:val="left"/>
      <w:pPr>
        <w:ind w:left="5924" w:hanging="360"/>
      </w:pPr>
    </w:lvl>
    <w:lvl w:ilvl="8" w:tplc="0410001B">
      <w:start w:val="1"/>
      <w:numFmt w:val="lowerRoman"/>
      <w:lvlText w:val="%9."/>
      <w:lvlJc w:val="right"/>
      <w:pPr>
        <w:ind w:left="6644" w:hanging="180"/>
      </w:pPr>
    </w:lvl>
  </w:abstractNum>
  <w:abstractNum w:abstractNumId="17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2"/>
  </w:num>
  <w:num w:numId="5">
    <w:abstractNumId w:val="1"/>
  </w:num>
  <w:num w:numId="6">
    <w:abstractNumId w:val="1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7"/>
  </w:num>
  <w:num w:numId="17">
    <w:abstractNumId w:val="23"/>
  </w:num>
  <w:num w:numId="18">
    <w:abstractNumId w:val="12"/>
  </w:num>
  <w:num w:numId="19">
    <w:abstractNumId w:val="3"/>
  </w:num>
  <w:num w:numId="20">
    <w:abstractNumId w:val="15"/>
  </w:num>
  <w:num w:numId="21">
    <w:abstractNumId w:val="17"/>
  </w:num>
  <w:num w:numId="22">
    <w:abstractNumId w:val="21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71B68"/>
    <w:rsid w:val="000E4B7E"/>
    <w:rsid w:val="000F3ADF"/>
    <w:rsid w:val="000F7C5F"/>
    <w:rsid w:val="00112873"/>
    <w:rsid w:val="00117F1E"/>
    <w:rsid w:val="0012159E"/>
    <w:rsid w:val="001B4E77"/>
    <w:rsid w:val="001D73AE"/>
    <w:rsid w:val="002003E5"/>
    <w:rsid w:val="00220E5F"/>
    <w:rsid w:val="002210DE"/>
    <w:rsid w:val="0023487B"/>
    <w:rsid w:val="00237016"/>
    <w:rsid w:val="002706D8"/>
    <w:rsid w:val="00276654"/>
    <w:rsid w:val="00281114"/>
    <w:rsid w:val="002A4619"/>
    <w:rsid w:val="002A5D7C"/>
    <w:rsid w:val="002A6285"/>
    <w:rsid w:val="002A77E8"/>
    <w:rsid w:val="002B375D"/>
    <w:rsid w:val="002B6C24"/>
    <w:rsid w:val="002F375F"/>
    <w:rsid w:val="0031523A"/>
    <w:rsid w:val="00324869"/>
    <w:rsid w:val="00342D58"/>
    <w:rsid w:val="003514C2"/>
    <w:rsid w:val="0038669E"/>
    <w:rsid w:val="003A148C"/>
    <w:rsid w:val="003A4A32"/>
    <w:rsid w:val="003B0325"/>
    <w:rsid w:val="003C5FBA"/>
    <w:rsid w:val="003E6FAB"/>
    <w:rsid w:val="003F41B0"/>
    <w:rsid w:val="0041512A"/>
    <w:rsid w:val="004172CC"/>
    <w:rsid w:val="004257E1"/>
    <w:rsid w:val="0044342C"/>
    <w:rsid w:val="0045076B"/>
    <w:rsid w:val="00451991"/>
    <w:rsid w:val="0045341A"/>
    <w:rsid w:val="004704B5"/>
    <w:rsid w:val="00493BD0"/>
    <w:rsid w:val="004A3C01"/>
    <w:rsid w:val="004A5112"/>
    <w:rsid w:val="004B3C68"/>
    <w:rsid w:val="004B7DB4"/>
    <w:rsid w:val="004E3766"/>
    <w:rsid w:val="004F3CF0"/>
    <w:rsid w:val="004F59C5"/>
    <w:rsid w:val="004F667B"/>
    <w:rsid w:val="00506E58"/>
    <w:rsid w:val="0052347D"/>
    <w:rsid w:val="00587F68"/>
    <w:rsid w:val="005930C1"/>
    <w:rsid w:val="005A769A"/>
    <w:rsid w:val="005C01FD"/>
    <w:rsid w:val="005C68B2"/>
    <w:rsid w:val="005C720B"/>
    <w:rsid w:val="005E5880"/>
    <w:rsid w:val="005F1CCE"/>
    <w:rsid w:val="005F21E3"/>
    <w:rsid w:val="0060265B"/>
    <w:rsid w:val="00621A5C"/>
    <w:rsid w:val="00621E64"/>
    <w:rsid w:val="00640813"/>
    <w:rsid w:val="00651349"/>
    <w:rsid w:val="00651378"/>
    <w:rsid w:val="00677516"/>
    <w:rsid w:val="00692827"/>
    <w:rsid w:val="00694BB5"/>
    <w:rsid w:val="00697CB5"/>
    <w:rsid w:val="006B29D2"/>
    <w:rsid w:val="006B3A13"/>
    <w:rsid w:val="006C7151"/>
    <w:rsid w:val="006E08B5"/>
    <w:rsid w:val="006E2A43"/>
    <w:rsid w:val="006F05DD"/>
    <w:rsid w:val="00705665"/>
    <w:rsid w:val="00714EBD"/>
    <w:rsid w:val="00737DA2"/>
    <w:rsid w:val="00746376"/>
    <w:rsid w:val="00757EC8"/>
    <w:rsid w:val="00763AB7"/>
    <w:rsid w:val="00764B7D"/>
    <w:rsid w:val="00774441"/>
    <w:rsid w:val="007D29FA"/>
    <w:rsid w:val="0080569E"/>
    <w:rsid w:val="0082478D"/>
    <w:rsid w:val="008665DB"/>
    <w:rsid w:val="00872D0F"/>
    <w:rsid w:val="008756FA"/>
    <w:rsid w:val="00875A8F"/>
    <w:rsid w:val="00885B50"/>
    <w:rsid w:val="00897F79"/>
    <w:rsid w:val="008E70B8"/>
    <w:rsid w:val="008F77D3"/>
    <w:rsid w:val="009025A0"/>
    <w:rsid w:val="0090382A"/>
    <w:rsid w:val="00932258"/>
    <w:rsid w:val="00945B26"/>
    <w:rsid w:val="0095713B"/>
    <w:rsid w:val="0097516F"/>
    <w:rsid w:val="00977047"/>
    <w:rsid w:val="0099129C"/>
    <w:rsid w:val="009A4645"/>
    <w:rsid w:val="009A476D"/>
    <w:rsid w:val="009B07B1"/>
    <w:rsid w:val="009C0F33"/>
    <w:rsid w:val="009D00A5"/>
    <w:rsid w:val="00A06B50"/>
    <w:rsid w:val="00A123BB"/>
    <w:rsid w:val="00A5440D"/>
    <w:rsid w:val="00A602F5"/>
    <w:rsid w:val="00A84893"/>
    <w:rsid w:val="00A956AF"/>
    <w:rsid w:val="00B0731C"/>
    <w:rsid w:val="00B66F7C"/>
    <w:rsid w:val="00B74DCB"/>
    <w:rsid w:val="00BB2167"/>
    <w:rsid w:val="00BC019B"/>
    <w:rsid w:val="00BC3262"/>
    <w:rsid w:val="00BF42AE"/>
    <w:rsid w:val="00BF5221"/>
    <w:rsid w:val="00BF67A8"/>
    <w:rsid w:val="00C459E8"/>
    <w:rsid w:val="00C542F8"/>
    <w:rsid w:val="00C75D34"/>
    <w:rsid w:val="00C9233E"/>
    <w:rsid w:val="00C95280"/>
    <w:rsid w:val="00CB4FB4"/>
    <w:rsid w:val="00CC4A51"/>
    <w:rsid w:val="00CD592E"/>
    <w:rsid w:val="00CD7A44"/>
    <w:rsid w:val="00CE16FB"/>
    <w:rsid w:val="00CF2C56"/>
    <w:rsid w:val="00D02A9B"/>
    <w:rsid w:val="00D16B5E"/>
    <w:rsid w:val="00D46D3D"/>
    <w:rsid w:val="00D5625E"/>
    <w:rsid w:val="00DC5DC3"/>
    <w:rsid w:val="00DD2BE3"/>
    <w:rsid w:val="00DD6833"/>
    <w:rsid w:val="00DF0435"/>
    <w:rsid w:val="00E25843"/>
    <w:rsid w:val="00E6197C"/>
    <w:rsid w:val="00E61C9E"/>
    <w:rsid w:val="00E660BB"/>
    <w:rsid w:val="00E96861"/>
    <w:rsid w:val="00EB1403"/>
    <w:rsid w:val="00EC548A"/>
    <w:rsid w:val="00ED5B66"/>
    <w:rsid w:val="00EE2BE4"/>
    <w:rsid w:val="00EE371A"/>
    <w:rsid w:val="00F07CBF"/>
    <w:rsid w:val="00F2381A"/>
    <w:rsid w:val="00F312D0"/>
    <w:rsid w:val="00F33A15"/>
    <w:rsid w:val="00F724EE"/>
    <w:rsid w:val="00FC6D12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0FD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uiPriority w:val="99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provvnumart1">
    <w:name w:val="provv_numart1"/>
    <w:rsid w:val="00C95280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13PA%20Destinazione%20uso.pdf" TargetMode="External"/><Relationship Id="rId13" Type="http://schemas.openxmlformats.org/officeDocument/2006/relationships/hyperlink" Target="Allegati/PA37%20Agenzie%20pubbliche%20intermediazione.pdf" TargetMode="External"/><Relationship Id="rId18" Type="http://schemas.openxmlformats.org/officeDocument/2006/relationships/hyperlink" Target="https://www.tuttocamere.it/files/psicurezza/1931_77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Definizioni/25PA%20Definizioni%20varie%20agenzie.pdf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../../TUR/Parte%205%5e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PUC\5%20Procedimenti\Definizioni\Riferimenti%20normativi%20e%20di%20controllo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Definizioni/7PA%20Tempistica.pdf" TargetMode="External"/><Relationship Id="rId10" Type="http://schemas.openxmlformats.org/officeDocument/2006/relationships/hyperlink" Target="http://www.impresainungiorno.gov.it/web/guest/comune?codCatastale=L581" TargetMode="External"/><Relationship Id="rId19" Type="http://schemas.openxmlformats.org/officeDocument/2006/relationships/hyperlink" Target="https://www.tuttocamere.it/files/psicurezza/1940_6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../../ATECO/Ateco%20Servizi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29</cp:revision>
  <dcterms:created xsi:type="dcterms:W3CDTF">2018-07-29T13:15:00Z</dcterms:created>
  <dcterms:modified xsi:type="dcterms:W3CDTF">2021-05-11T14:02:00Z</dcterms:modified>
</cp:coreProperties>
</file>